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763" w:firstLine="717.000000000000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jc w:val="center"/>
        <w:rPr>
          <w:rFonts w:ascii="Calibri" w:cs="Calibri" w:eastAsia="Calibri" w:hAnsi="Calibri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Relazione di accompagnamento al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8"/>
          <w:szCs w:val="28"/>
          <w:rtl w:val="0"/>
        </w:rPr>
        <w:t xml:space="preserve">Curriculum vitae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3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del dr/dr.ssa.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9" w:line="343" w:lineRule="auto"/>
        <w:ind w:left="1" w:right="-2" w:firstLine="6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contenente l’esperienza maturata presso Pubbliche Amministrazioni o aziende private, negli ambiti individuati  dal D.M. 6 agosto 2020 e s.m.i. (misurazione e valutazione della performance organizzativa e individuale, nella  pianificazione, nel controllo di gestione, nella programmazione finanziaria e di bilancio e nel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risk-management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 eventuali incarichi svolti presso OIV/NdV).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29" w:lineRule="auto"/>
        <w:ind w:left="1" w:right="-6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AREA DELLA CONOSCENZA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possesso del diploma di laurea (vecchio ordinamento) o laurea  specialistica o laurea magistrale. È valutabile il possesso di titoli riconosciuti equivalenti rilasciati in altri Paesi  dell'Unione Europea. Dovranno essere indicati gli estremi del provvedimento con il quale è stata dichiarata  l'equipollenza.  </w:t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3.00000000000006" w:lineRule="auto"/>
        <w:ind w:left="1" w:right="-6" w:firstLine="0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AREA DELL’ESPERIENZA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possesso di comprovata esperienza professionale di almeno 5 (cinque) anni,  maturata presso pubbliche amministrazioni o aziende private, nella misurazione e valutazione della  performance organizzativa e individuale, nella pianificazione, nel controllo di gestione, nella programmazione  finanziaria e di bilancio e nel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risk-management</w:t>
      </w:r>
    </w:p>
    <w:tbl>
      <w:tblPr>
        <w:tblStyle w:val="Table3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8" w:lineRule="auto"/>
        <w:ind w:left="1" w:right="384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AREA CAPACITA’ MANAGERIALI E DI COMUNICAZIONE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possesso di adeguate competenze e capacità manageriali e relazionali, dovendo promuovere i valori di miglioramento continuo della performance e della qualità del servizio nonché della trasparenza e della integrità. Le predette capacità e competenze saranno accertate dagli elementi desumibili dal curriculum </w:t>
      </w:r>
    </w:p>
    <w:tbl>
      <w:tblPr>
        <w:tblStyle w:val="Table6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5" w:lineRule="auto"/>
        <w:ind w:left="6" w:right="-5" w:hanging="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AREA DELL’ESPERIENZA NELLO STESSO RUOLO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assume rilievo l’esperienza già maturata nella stessa qualifica di componente di OIV/NdV, anche presso altra amministrazione fermo restante quanto previsto in ordine alla rilevanza di una eventuale rimozione dell’incarico  </w:t>
      </w:r>
    </w:p>
    <w:tbl>
      <w:tblPr>
        <w:tblStyle w:val="Table8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0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5" w:right="10" w:hanging="3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presente relazione viene resa in forma di autocertificazione, consapevolmente alle sanzioni penali stabilite  dall’art. 76 del D.P.R. 445/2000 per false attestazioni e mendaci dichiarazioni rese ai sensi degli artt. 46 e 47  del citato D.P.R. 445/2000. 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9" w:line="240" w:lineRule="auto"/>
        <w:ind w:left="3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8" w:line="240" w:lineRule="auto"/>
        <w:ind w:left="42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8" w:line="240" w:lineRule="auto"/>
        <w:ind w:left="42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 allega documento di riconoscimento</w:t>
      </w:r>
    </w:p>
    <w:sectPr>
      <w:pgSz w:h="16820" w:w="11900" w:orient="portrait"/>
      <w:pgMar w:bottom="1795" w:top="1396" w:left="1132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7uaqCm+KmljPSxujXlChvY2uQ==">CgMxLjA4AHIhMW9KYlBOWWhaMjc2dmM2bmFBUDZRdUg4R1ZaWnYwOTZ1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2025-03-21T11:51:00Z</dcterms:created>
</cp:coreProperties>
</file>